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81AA" w14:textId="24B4695B" w:rsidR="00C1072E" w:rsidRPr="00C1072E" w:rsidRDefault="00C1072E" w:rsidP="00C1072E">
      <w:pPr>
        <w:jc w:val="center"/>
        <w:rPr>
          <w:rFonts w:ascii="Arial" w:hAnsi="Arial" w:cs="Arial"/>
          <w:b/>
          <w:bCs/>
        </w:rPr>
      </w:pPr>
    </w:p>
    <w:p w14:paraId="33066721" w14:textId="77777777" w:rsidR="00C1072E" w:rsidRPr="00C1072E" w:rsidRDefault="00C1072E" w:rsidP="00C1072E">
      <w:pPr>
        <w:jc w:val="both"/>
        <w:rPr>
          <w:rFonts w:ascii="Arial" w:hAnsi="Arial" w:cs="Arial"/>
          <w:b/>
          <w:bCs/>
        </w:rPr>
      </w:pPr>
    </w:p>
    <w:p w14:paraId="2D383B38" w14:textId="47D51C05" w:rsidR="004528E7" w:rsidRPr="00C1072E" w:rsidRDefault="004528E7" w:rsidP="00C1072E">
      <w:pPr>
        <w:jc w:val="both"/>
        <w:rPr>
          <w:rFonts w:ascii="Arial" w:hAnsi="Arial" w:cs="Arial"/>
          <w:b/>
          <w:bCs/>
        </w:rPr>
      </w:pPr>
      <w:r w:rsidRPr="00C1072E">
        <w:rPr>
          <w:rFonts w:ascii="Arial" w:hAnsi="Arial" w:cs="Arial"/>
          <w:b/>
          <w:bCs/>
        </w:rPr>
        <w:t xml:space="preserve">GUIDANCE </w:t>
      </w:r>
      <w:r w:rsidRPr="00730D9B">
        <w:rPr>
          <w:rFonts w:ascii="Arial" w:hAnsi="Arial" w:cs="Arial"/>
          <w:b/>
          <w:bCs/>
        </w:rPr>
        <w:t>NOTE (GN</w:t>
      </w:r>
      <w:r w:rsidR="00730D9B" w:rsidRPr="00730D9B">
        <w:rPr>
          <w:rFonts w:ascii="Arial" w:hAnsi="Arial" w:cs="Arial"/>
          <w:b/>
          <w:bCs/>
        </w:rPr>
        <w:t>19/24</w:t>
      </w:r>
      <w:r w:rsidR="00730D9B">
        <w:rPr>
          <w:rFonts w:ascii="Arial" w:hAnsi="Arial" w:cs="Arial"/>
          <w:b/>
          <w:bCs/>
        </w:rPr>
        <w:t>)</w:t>
      </w:r>
      <w:r w:rsidRPr="00C1072E">
        <w:rPr>
          <w:rFonts w:ascii="Arial" w:hAnsi="Arial" w:cs="Arial"/>
          <w:b/>
          <w:bCs/>
        </w:rPr>
        <w:t xml:space="preserve">: DATE OF OCCURRENCE OF A TROUBLES-RELATED INCIDENT </w:t>
      </w:r>
    </w:p>
    <w:p w14:paraId="6AAFD7D0" w14:textId="5F505592" w:rsidR="004528E7" w:rsidRPr="00C1072E" w:rsidRDefault="00875107" w:rsidP="00C1072E">
      <w:pPr>
        <w:jc w:val="both"/>
        <w:rPr>
          <w:rFonts w:ascii="Arial" w:hAnsi="Arial" w:cs="Arial"/>
          <w:b/>
          <w:bCs/>
        </w:rPr>
      </w:pPr>
      <w:r w:rsidRPr="00875107">
        <w:rPr>
          <w:rFonts w:ascii="Arial" w:hAnsi="Arial" w:cs="Arial"/>
          <w:b/>
          <w:bCs/>
        </w:rPr>
        <w:t>DECEMBER 2024</w:t>
      </w:r>
      <w:r w:rsidR="004528E7" w:rsidRPr="00C1072E">
        <w:rPr>
          <w:rFonts w:ascii="Arial" w:hAnsi="Arial" w:cs="Arial"/>
          <w:b/>
          <w:bCs/>
        </w:rPr>
        <w:t xml:space="preserve"> </w:t>
      </w:r>
    </w:p>
    <w:p w14:paraId="049C9ED3" w14:textId="77777777" w:rsidR="004528E7" w:rsidRPr="00C1072E" w:rsidRDefault="004528E7" w:rsidP="00C1072E">
      <w:pPr>
        <w:jc w:val="both"/>
        <w:rPr>
          <w:rFonts w:ascii="Arial" w:hAnsi="Arial" w:cs="Arial"/>
        </w:rPr>
      </w:pPr>
    </w:p>
    <w:p w14:paraId="74019131" w14:textId="05F8CD9A" w:rsidR="004528E7" w:rsidRDefault="004528E7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The Victims’ Payments Regulations 2020 set out the eligibility requirements for a payment from the Troubles Permanent Disablement Payment Scheme. Regulation 5(1)(d) provides that a person is entitled to victims’ payments in respect of injury caused by a Troubles-related incident if the Troubles-related incident took place on or after 1 January 1966 but before 12 April 2010. </w:t>
      </w:r>
    </w:p>
    <w:p w14:paraId="108175CA" w14:textId="77777777" w:rsidR="00C1072E" w:rsidRPr="00C1072E" w:rsidRDefault="00C1072E" w:rsidP="00C1072E">
      <w:pPr>
        <w:pStyle w:val="ListParagraph"/>
        <w:ind w:left="426"/>
        <w:jc w:val="both"/>
        <w:rPr>
          <w:rFonts w:ascii="Arial" w:hAnsi="Arial" w:cs="Arial"/>
        </w:rPr>
      </w:pPr>
    </w:p>
    <w:p w14:paraId="6186D798" w14:textId="49945B85" w:rsidR="004528E7" w:rsidRPr="00C1072E" w:rsidRDefault="004528E7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The Regulations also provide: </w:t>
      </w:r>
    </w:p>
    <w:p w14:paraId="4AAB4FAC" w14:textId="6542925E" w:rsidR="004528E7" w:rsidRPr="00C1072E" w:rsidRDefault="00C1072E" w:rsidP="00C1072E">
      <w:pPr>
        <w:ind w:left="1134" w:right="80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528E7" w:rsidRPr="00C1072E">
        <w:rPr>
          <w:rFonts w:ascii="Arial" w:hAnsi="Arial" w:cs="Arial"/>
        </w:rPr>
        <w:t>5(5) Paragraph (1)(d) does not apply in any case where a panel considers that the application</w:t>
      </w:r>
      <w:r>
        <w:rPr>
          <w:rFonts w:ascii="Arial" w:hAnsi="Arial" w:cs="Arial"/>
        </w:rPr>
        <w:t xml:space="preserve"> </w:t>
      </w:r>
      <w:r w:rsidR="004528E7" w:rsidRPr="00C1072E">
        <w:rPr>
          <w:rFonts w:ascii="Arial" w:hAnsi="Arial" w:cs="Arial"/>
        </w:rPr>
        <w:t xml:space="preserve">of that paragraph would undermine the purposes of this Scheme. </w:t>
      </w:r>
    </w:p>
    <w:p w14:paraId="3DA734FB" w14:textId="45F60467" w:rsidR="004528E7" w:rsidRPr="00C1072E" w:rsidRDefault="004528E7" w:rsidP="00C1072E">
      <w:pPr>
        <w:ind w:left="1134" w:right="804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5(6) For the purpose of paragraph (5), the purposes of this Scheme are to: </w:t>
      </w:r>
    </w:p>
    <w:p w14:paraId="2037412A" w14:textId="4AD98AF5" w:rsidR="004528E7" w:rsidRPr="00C1072E" w:rsidRDefault="004528E7" w:rsidP="00C1072E">
      <w:pPr>
        <w:ind w:left="1560" w:right="804" w:hanging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(a) </w:t>
      </w:r>
      <w:r w:rsidR="00D76D10">
        <w:rPr>
          <w:rFonts w:ascii="Arial" w:hAnsi="Arial" w:cs="Arial"/>
        </w:rPr>
        <w:tab/>
      </w:r>
      <w:r w:rsidRPr="00C1072E">
        <w:rPr>
          <w:rFonts w:ascii="Arial" w:hAnsi="Arial" w:cs="Arial"/>
        </w:rPr>
        <w:t xml:space="preserve">acknowledge the harm suffered by those injured in the Troubles, and </w:t>
      </w:r>
    </w:p>
    <w:p w14:paraId="59A37BA3" w14:textId="6F611BC2" w:rsidR="004528E7" w:rsidRPr="00C1072E" w:rsidRDefault="004528E7" w:rsidP="00D76D10">
      <w:pPr>
        <w:ind w:left="1560" w:right="804" w:hanging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(b) </w:t>
      </w:r>
      <w:r w:rsidR="00D76D10">
        <w:rPr>
          <w:rFonts w:ascii="Arial" w:hAnsi="Arial" w:cs="Arial"/>
        </w:rPr>
        <w:tab/>
      </w:r>
      <w:r w:rsidRPr="00C1072E">
        <w:rPr>
          <w:rFonts w:ascii="Arial" w:hAnsi="Arial" w:cs="Arial"/>
        </w:rPr>
        <w:t xml:space="preserve">promote reconciliation between people in connection with </w:t>
      </w:r>
      <w:r w:rsidRPr="00A86D88">
        <w:rPr>
          <w:rFonts w:ascii="Arial" w:hAnsi="Arial" w:cs="Arial"/>
          <w:b/>
          <w:bCs/>
        </w:rPr>
        <w:t>Northern Ireland’s troubled past</w:t>
      </w:r>
      <w:r w:rsidRPr="00C1072E">
        <w:rPr>
          <w:rFonts w:ascii="Arial" w:hAnsi="Arial" w:cs="Arial"/>
        </w:rPr>
        <w:t>.</w:t>
      </w:r>
      <w:r w:rsidR="00C1072E">
        <w:rPr>
          <w:rFonts w:ascii="Arial" w:hAnsi="Arial" w:cs="Arial"/>
        </w:rPr>
        <w:t>”</w:t>
      </w:r>
      <w:r w:rsidRPr="00C1072E">
        <w:rPr>
          <w:rFonts w:ascii="Arial" w:hAnsi="Arial" w:cs="Arial"/>
        </w:rPr>
        <w:t xml:space="preserve"> </w:t>
      </w:r>
    </w:p>
    <w:p w14:paraId="40ED2C7C" w14:textId="77777777" w:rsidR="00F97E2C" w:rsidRPr="00C1072E" w:rsidRDefault="00F97E2C" w:rsidP="00F97E2C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>Given the overwhelming majority of Troubles-related incidents took place within the date limitations, applications where the date of the incident falls outside of the specified dates are likely to occur infrequently.</w:t>
      </w:r>
    </w:p>
    <w:p w14:paraId="346FD28D" w14:textId="77777777" w:rsidR="00F97E2C" w:rsidRDefault="00F97E2C" w:rsidP="00F97E2C">
      <w:pPr>
        <w:pStyle w:val="ListParagraph"/>
        <w:ind w:left="426"/>
        <w:jc w:val="both"/>
        <w:rPr>
          <w:rFonts w:ascii="Arial" w:hAnsi="Arial" w:cs="Arial"/>
        </w:rPr>
      </w:pPr>
    </w:p>
    <w:p w14:paraId="5BB83872" w14:textId="7B2E25DF" w:rsidR="004528E7" w:rsidRDefault="004528E7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This guidance note sets out how the Victims’ Payments Board will apply discretion in relation to date parameters when considering entitlement to a payment under the Troubles Permanent Disablement Payment Scheme. </w:t>
      </w:r>
    </w:p>
    <w:p w14:paraId="4CCBCEA8" w14:textId="77777777" w:rsidR="00652E51" w:rsidRPr="00C1072E" w:rsidRDefault="00652E51" w:rsidP="00652E51">
      <w:pPr>
        <w:pStyle w:val="ListParagraph"/>
        <w:ind w:left="426"/>
        <w:jc w:val="both"/>
        <w:rPr>
          <w:rFonts w:ascii="Arial" w:hAnsi="Arial" w:cs="Arial"/>
        </w:rPr>
      </w:pPr>
    </w:p>
    <w:p w14:paraId="3F11832A" w14:textId="1AC9DDCD" w:rsidR="002856C6" w:rsidRPr="00C1072E" w:rsidRDefault="002856C6" w:rsidP="00C1072E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To be eligible for victims’ payments, a panel must be satisfied, on the balance of probabilities, the applicant was injured in a Troubles-related incident. Troubles-related incident is defined as: </w:t>
      </w:r>
    </w:p>
    <w:p w14:paraId="523FDE5C" w14:textId="031F6DC6" w:rsidR="002856C6" w:rsidRPr="00C1072E" w:rsidRDefault="002856C6" w:rsidP="00C1072E">
      <w:pPr>
        <w:ind w:left="1134" w:right="804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>“an incident involving an act of violence or force carried out in Ireland, the United Kingdom or anywhere in Europe for</w:t>
      </w:r>
      <w:r w:rsidR="00193B24">
        <w:rPr>
          <w:rFonts w:ascii="Arial" w:hAnsi="Arial" w:cs="Arial"/>
        </w:rPr>
        <w:t xml:space="preserve"> </w:t>
      </w:r>
      <w:r w:rsidRPr="00C1072E">
        <w:rPr>
          <w:rFonts w:ascii="Arial" w:hAnsi="Arial" w:cs="Arial"/>
        </w:rPr>
        <w:t>a reason related to the constitutional status of Northern Ireland or to political or sectarian hostility between people there.</w:t>
      </w:r>
      <w:r w:rsidR="005D15EE" w:rsidRPr="00C1072E">
        <w:rPr>
          <w:rFonts w:ascii="Arial" w:hAnsi="Arial" w:cs="Arial"/>
        </w:rPr>
        <w:t xml:space="preserve">” </w:t>
      </w:r>
    </w:p>
    <w:p w14:paraId="261D60D1" w14:textId="77777777" w:rsidR="00C1072E" w:rsidRDefault="004528E7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Each case will be considered on its individual merits and on a case-by-case basis. </w:t>
      </w:r>
    </w:p>
    <w:p w14:paraId="79709A3C" w14:textId="77777777" w:rsidR="00652E51" w:rsidRDefault="00652E51" w:rsidP="00652E51">
      <w:pPr>
        <w:pStyle w:val="ListParagraph"/>
        <w:ind w:left="426"/>
        <w:jc w:val="both"/>
        <w:rPr>
          <w:rFonts w:ascii="Arial" w:hAnsi="Arial" w:cs="Arial"/>
        </w:rPr>
      </w:pPr>
    </w:p>
    <w:p w14:paraId="11C3AB46" w14:textId="77777777" w:rsidR="00652E51" w:rsidRDefault="00652E51" w:rsidP="00652E51">
      <w:pPr>
        <w:pStyle w:val="ListParagraph"/>
        <w:ind w:left="426"/>
        <w:jc w:val="both"/>
        <w:rPr>
          <w:rFonts w:ascii="Arial" w:hAnsi="Arial" w:cs="Arial"/>
        </w:rPr>
      </w:pPr>
    </w:p>
    <w:p w14:paraId="14334AB2" w14:textId="77777777" w:rsidR="00C1072E" w:rsidRDefault="00AE1667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lastRenderedPageBreak/>
        <w:t xml:space="preserve">When considering an incident which </w:t>
      </w:r>
      <w:r w:rsidR="009C03C3" w:rsidRPr="00C1072E">
        <w:rPr>
          <w:rFonts w:ascii="Arial" w:hAnsi="Arial" w:cs="Arial"/>
        </w:rPr>
        <w:t xml:space="preserve">would be rendered ineligible solely on the basis it occurred </w:t>
      </w:r>
      <w:r w:rsidRPr="00C1072E">
        <w:rPr>
          <w:rFonts w:ascii="Arial" w:hAnsi="Arial" w:cs="Arial"/>
        </w:rPr>
        <w:t xml:space="preserve">outside the dates specified in regulation 5(1)(d), a panel must first consider whether applying the date limitations would </w:t>
      </w:r>
      <w:r w:rsidR="009C03C3" w:rsidRPr="00C1072E">
        <w:rPr>
          <w:rFonts w:ascii="Arial" w:hAnsi="Arial" w:cs="Arial"/>
        </w:rPr>
        <w:t>undermine the purposes of the Scheme (as above).</w:t>
      </w:r>
    </w:p>
    <w:p w14:paraId="3F595E54" w14:textId="77777777" w:rsidR="00C1072E" w:rsidRDefault="00C1072E" w:rsidP="00C1072E">
      <w:pPr>
        <w:pStyle w:val="ListParagraph"/>
        <w:ind w:left="426"/>
        <w:jc w:val="both"/>
        <w:rPr>
          <w:rFonts w:ascii="Arial" w:hAnsi="Arial" w:cs="Arial"/>
        </w:rPr>
      </w:pPr>
    </w:p>
    <w:p w14:paraId="19477E3F" w14:textId="3EC14C51" w:rsidR="00C1072E" w:rsidRPr="00C1072E" w:rsidRDefault="009C03C3" w:rsidP="00C1072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C1072E">
        <w:rPr>
          <w:rFonts w:ascii="Arial" w:hAnsi="Arial" w:cs="Arial"/>
        </w:rPr>
        <w:t xml:space="preserve">In </w:t>
      </w:r>
      <w:r w:rsidR="00760D97" w:rsidRPr="00C1072E">
        <w:rPr>
          <w:rFonts w:ascii="Arial" w:hAnsi="Arial" w:cs="Arial"/>
        </w:rPr>
        <w:t xml:space="preserve">exercising its discretion, </w:t>
      </w:r>
      <w:r w:rsidRPr="00C1072E">
        <w:rPr>
          <w:rFonts w:ascii="Arial" w:hAnsi="Arial" w:cs="Arial"/>
        </w:rPr>
        <w:t xml:space="preserve">the panel should </w:t>
      </w:r>
      <w:r w:rsidR="00760D97" w:rsidRPr="00C1072E">
        <w:rPr>
          <w:rFonts w:ascii="Arial" w:hAnsi="Arial" w:cs="Arial"/>
        </w:rPr>
        <w:t xml:space="preserve">have regard to </w:t>
      </w:r>
      <w:r w:rsidRPr="00C1072E">
        <w:rPr>
          <w:rFonts w:ascii="Arial" w:hAnsi="Arial" w:cs="Arial"/>
        </w:rPr>
        <w:t xml:space="preserve">whether the incident appears to be so manifestly Troubles-related that it would be appropriate to consider it in the interests of fulfilling the </w:t>
      </w:r>
      <w:r w:rsidR="0063083A">
        <w:rPr>
          <w:rFonts w:ascii="Arial" w:hAnsi="Arial" w:cs="Arial"/>
        </w:rPr>
        <w:t xml:space="preserve">purposes </w:t>
      </w:r>
      <w:r w:rsidRPr="00C1072E">
        <w:rPr>
          <w:rFonts w:ascii="Arial" w:hAnsi="Arial" w:cs="Arial"/>
        </w:rPr>
        <w:t xml:space="preserve">of the Scheme (as referenced in </w:t>
      </w:r>
      <w:r w:rsidRPr="00C1072E">
        <w:rPr>
          <w:rFonts w:ascii="Arial" w:hAnsi="Arial" w:cs="Arial"/>
          <w:lang w:val="en-US"/>
        </w:rPr>
        <w:t xml:space="preserve">the </w:t>
      </w:r>
      <w:hyperlink r:id="rId8" w:history="1">
        <w:r w:rsidRPr="00C1072E">
          <w:rPr>
            <w:rStyle w:val="Hyperlink"/>
            <w:rFonts w:ascii="Arial" w:hAnsi="Arial" w:cs="Arial"/>
            <w:lang w:val="en-US"/>
          </w:rPr>
          <w:t>Government’s consultation paper response</w:t>
        </w:r>
      </w:hyperlink>
      <w:r w:rsidRPr="00C1072E">
        <w:rPr>
          <w:rFonts w:ascii="Arial" w:hAnsi="Arial" w:cs="Arial"/>
        </w:rPr>
        <w:t>).</w:t>
      </w:r>
      <w:r w:rsidRPr="00C1072E">
        <w:rPr>
          <w:rFonts w:ascii="Arial" w:hAnsi="Arial" w:cs="Arial"/>
          <w:lang w:val="en-US"/>
        </w:rPr>
        <w:t xml:space="preserve"> </w:t>
      </w:r>
      <w:r w:rsidR="00717B8A" w:rsidRPr="00A86D88">
        <w:rPr>
          <w:rFonts w:ascii="Arial" w:hAnsi="Arial" w:cs="Arial"/>
          <w:b/>
          <w:bCs/>
          <w:lang w:val="en-US"/>
        </w:rPr>
        <w:t>Please see the Annex</w:t>
      </w:r>
      <w:r w:rsidR="00193B24" w:rsidRPr="00A86D88">
        <w:rPr>
          <w:rFonts w:ascii="Arial" w:hAnsi="Arial" w:cs="Arial"/>
          <w:b/>
          <w:bCs/>
          <w:lang w:val="en-US"/>
        </w:rPr>
        <w:t xml:space="preserve"> to this Guidance Note</w:t>
      </w:r>
      <w:r w:rsidR="00717B8A" w:rsidRPr="00A86D88">
        <w:rPr>
          <w:rFonts w:ascii="Arial" w:hAnsi="Arial" w:cs="Arial"/>
          <w:b/>
          <w:bCs/>
          <w:lang w:val="en-US"/>
        </w:rPr>
        <w:t xml:space="preserve"> for</w:t>
      </w:r>
      <w:r w:rsidR="002E0191" w:rsidRPr="00A86D88">
        <w:rPr>
          <w:rFonts w:ascii="Arial" w:hAnsi="Arial" w:cs="Arial"/>
          <w:b/>
          <w:bCs/>
          <w:lang w:val="en-US"/>
        </w:rPr>
        <w:t xml:space="preserve"> relevant </w:t>
      </w:r>
      <w:r w:rsidR="00717B8A" w:rsidRPr="00A86D88">
        <w:rPr>
          <w:rFonts w:ascii="Arial" w:hAnsi="Arial" w:cs="Arial"/>
          <w:b/>
          <w:bCs/>
          <w:lang w:val="en-US"/>
        </w:rPr>
        <w:t xml:space="preserve">extracts </w:t>
      </w:r>
      <w:r w:rsidR="00193B24" w:rsidRPr="00A86D88">
        <w:rPr>
          <w:rFonts w:ascii="Arial" w:hAnsi="Arial" w:cs="Arial"/>
          <w:b/>
          <w:bCs/>
          <w:lang w:val="en-US"/>
        </w:rPr>
        <w:t>from</w:t>
      </w:r>
      <w:r w:rsidR="002E0191" w:rsidRPr="00A86D88">
        <w:rPr>
          <w:rFonts w:ascii="Arial" w:hAnsi="Arial" w:cs="Arial"/>
          <w:b/>
          <w:bCs/>
          <w:lang w:val="en-US"/>
        </w:rPr>
        <w:t xml:space="preserve"> </w:t>
      </w:r>
      <w:r w:rsidR="00717B8A" w:rsidRPr="00A86D88">
        <w:rPr>
          <w:rFonts w:ascii="Arial" w:hAnsi="Arial" w:cs="Arial"/>
          <w:b/>
          <w:bCs/>
          <w:lang w:val="en-US"/>
        </w:rPr>
        <w:t>the consultation paper response</w:t>
      </w:r>
      <w:r w:rsidR="00717B8A">
        <w:rPr>
          <w:rFonts w:ascii="Arial" w:hAnsi="Arial" w:cs="Arial"/>
          <w:lang w:val="en-US"/>
        </w:rPr>
        <w:t>.</w:t>
      </w:r>
    </w:p>
    <w:p w14:paraId="66C2FE71" w14:textId="77777777" w:rsidR="00C1072E" w:rsidRPr="00C1072E" w:rsidRDefault="00C1072E" w:rsidP="00C1072E">
      <w:pPr>
        <w:pStyle w:val="ListParagraph"/>
        <w:rPr>
          <w:rFonts w:ascii="Arial" w:hAnsi="Arial" w:cs="Arial"/>
        </w:rPr>
      </w:pPr>
    </w:p>
    <w:p w14:paraId="7C7F0BAF" w14:textId="49D73B75" w:rsidR="005837E7" w:rsidRDefault="005837E7" w:rsidP="00C1072E">
      <w:pPr>
        <w:jc w:val="both"/>
        <w:rPr>
          <w:rFonts w:ascii="Arial" w:hAnsi="Arial" w:cs="Arial"/>
        </w:rPr>
      </w:pPr>
    </w:p>
    <w:p w14:paraId="3EBFA9FA" w14:textId="77777777" w:rsidR="00717B8A" w:rsidRDefault="00717B8A" w:rsidP="00C1072E">
      <w:pPr>
        <w:jc w:val="both"/>
        <w:rPr>
          <w:rFonts w:ascii="Arial" w:hAnsi="Arial" w:cs="Arial"/>
        </w:rPr>
      </w:pPr>
    </w:p>
    <w:p w14:paraId="4FC7637B" w14:textId="77777777" w:rsidR="00717B8A" w:rsidRDefault="00717B8A" w:rsidP="00C1072E">
      <w:pPr>
        <w:jc w:val="both"/>
        <w:rPr>
          <w:rFonts w:ascii="Arial" w:hAnsi="Arial" w:cs="Arial"/>
        </w:rPr>
      </w:pPr>
    </w:p>
    <w:p w14:paraId="4DE613F5" w14:textId="77777777" w:rsidR="00717B8A" w:rsidRDefault="00717B8A" w:rsidP="00C1072E">
      <w:pPr>
        <w:jc w:val="both"/>
        <w:rPr>
          <w:rFonts w:ascii="Arial" w:hAnsi="Arial" w:cs="Arial"/>
        </w:rPr>
      </w:pPr>
    </w:p>
    <w:p w14:paraId="090F7898" w14:textId="77777777" w:rsidR="00717B8A" w:rsidRDefault="00717B8A" w:rsidP="00C1072E">
      <w:pPr>
        <w:jc w:val="both"/>
        <w:rPr>
          <w:rFonts w:ascii="Arial" w:hAnsi="Arial" w:cs="Arial"/>
        </w:rPr>
      </w:pPr>
    </w:p>
    <w:p w14:paraId="4CCFBDBB" w14:textId="58AE8FAA" w:rsidR="00717B8A" w:rsidRDefault="00717B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CA59B4" w14:textId="365251CB" w:rsidR="00717B8A" w:rsidRDefault="00717B8A" w:rsidP="00717B8A">
      <w:pPr>
        <w:jc w:val="right"/>
        <w:rPr>
          <w:rFonts w:ascii="Arial" w:hAnsi="Arial" w:cs="Arial"/>
          <w:b/>
          <w:bCs/>
        </w:rPr>
      </w:pPr>
      <w:r w:rsidRPr="00717B8A">
        <w:rPr>
          <w:rFonts w:ascii="Arial" w:hAnsi="Arial" w:cs="Arial"/>
          <w:b/>
          <w:bCs/>
        </w:rPr>
        <w:lastRenderedPageBreak/>
        <w:t>Annex</w:t>
      </w:r>
    </w:p>
    <w:p w14:paraId="3F6E6E59" w14:textId="77777777" w:rsidR="00717B8A" w:rsidRDefault="00717B8A" w:rsidP="00717B8A">
      <w:pPr>
        <w:jc w:val="right"/>
        <w:rPr>
          <w:rFonts w:ascii="Arial" w:hAnsi="Arial" w:cs="Arial"/>
          <w:b/>
          <w:bCs/>
        </w:rPr>
      </w:pPr>
    </w:p>
    <w:p w14:paraId="3E11529D" w14:textId="1DE6E458" w:rsidR="00717B8A" w:rsidRDefault="00717B8A" w:rsidP="00717B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Relevant Extracts from “</w:t>
      </w:r>
      <w:r w:rsidRPr="00717B8A">
        <w:rPr>
          <w:rFonts w:ascii="Arial" w:hAnsi="Arial" w:cs="Arial"/>
          <w:b/>
          <w:bCs/>
        </w:rPr>
        <w:t>A legal framework for a</w:t>
      </w:r>
      <w:r>
        <w:rPr>
          <w:rFonts w:ascii="Arial" w:hAnsi="Arial" w:cs="Arial"/>
          <w:b/>
          <w:bCs/>
        </w:rPr>
        <w:t xml:space="preserve"> </w:t>
      </w:r>
      <w:r w:rsidRPr="00717B8A">
        <w:rPr>
          <w:rFonts w:ascii="Arial" w:hAnsi="Arial" w:cs="Arial"/>
          <w:b/>
          <w:bCs/>
        </w:rPr>
        <w:t>Troubles-related incident Victims</w:t>
      </w:r>
      <w:r>
        <w:rPr>
          <w:rFonts w:ascii="Arial" w:hAnsi="Arial" w:cs="Arial"/>
          <w:b/>
          <w:bCs/>
        </w:rPr>
        <w:t xml:space="preserve"> </w:t>
      </w:r>
      <w:r w:rsidRPr="00717B8A">
        <w:rPr>
          <w:rFonts w:ascii="Arial" w:hAnsi="Arial" w:cs="Arial"/>
          <w:b/>
          <w:bCs/>
        </w:rPr>
        <w:t>Payment Scheme</w:t>
      </w:r>
      <w:r>
        <w:rPr>
          <w:rFonts w:ascii="Arial" w:hAnsi="Arial" w:cs="Arial"/>
          <w:b/>
          <w:bCs/>
        </w:rPr>
        <w:t xml:space="preserve">: </w:t>
      </w:r>
      <w:r w:rsidRPr="00717B8A">
        <w:rPr>
          <w:rFonts w:ascii="Arial" w:hAnsi="Arial" w:cs="Arial"/>
          <w:b/>
          <w:bCs/>
        </w:rPr>
        <w:t>Government response</w:t>
      </w:r>
      <w:r>
        <w:rPr>
          <w:rFonts w:ascii="Arial" w:hAnsi="Arial" w:cs="Arial"/>
          <w:b/>
          <w:bCs/>
        </w:rPr>
        <w:t>”</w:t>
      </w:r>
    </w:p>
    <w:p w14:paraId="5C6C0D31" w14:textId="77777777" w:rsidR="00717B8A" w:rsidRDefault="00717B8A" w:rsidP="00717B8A">
      <w:pPr>
        <w:jc w:val="both"/>
        <w:rPr>
          <w:rFonts w:ascii="Arial" w:hAnsi="Arial" w:cs="Arial"/>
        </w:rPr>
      </w:pPr>
    </w:p>
    <w:p w14:paraId="47604AC5" w14:textId="20F5F0CF" w:rsidR="00717B8A" w:rsidRPr="00717B8A" w:rsidRDefault="00717B8A" w:rsidP="00717B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Pr="00717B8A">
        <w:rPr>
          <w:rFonts w:ascii="Arial" w:hAnsi="Arial" w:cs="Arial"/>
          <w:b/>
          <w:bCs/>
        </w:rPr>
        <w:t>Date parameters</w:t>
      </w:r>
    </w:p>
    <w:p w14:paraId="37370E2C" w14:textId="471926A6" w:rsidR="00717B8A" w:rsidRPr="00717B8A" w:rsidRDefault="00623155" w:rsidP="00717B8A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63</w:t>
      </w:r>
      <w:r>
        <w:rPr>
          <w:rFonts w:ascii="Arial" w:hAnsi="Arial" w:cs="Arial"/>
          <w:i/>
          <w:iCs/>
        </w:rPr>
        <w:tab/>
      </w:r>
      <w:r w:rsidR="00590DB8">
        <w:rPr>
          <w:rFonts w:ascii="Arial" w:hAnsi="Arial" w:cs="Arial"/>
        </w:rPr>
        <w:t>…</w:t>
      </w:r>
      <w:r w:rsidR="00717B8A" w:rsidRPr="00717B8A">
        <w:rPr>
          <w:rFonts w:ascii="Arial" w:hAnsi="Arial" w:cs="Arial"/>
        </w:rPr>
        <w:t>this scheme is an exceptional one designed to</w:t>
      </w:r>
      <w:r w:rsidR="00717B8A">
        <w:rPr>
          <w:rFonts w:ascii="Arial" w:hAnsi="Arial" w:cs="Arial"/>
        </w:rPr>
        <w:t xml:space="preserve"> </w:t>
      </w:r>
      <w:r w:rsidR="00717B8A" w:rsidRPr="00717B8A">
        <w:rPr>
          <w:rFonts w:ascii="Arial" w:hAnsi="Arial" w:cs="Arial"/>
        </w:rPr>
        <w:t>provide acknowledgement to those injured during the worst of the NI</w:t>
      </w:r>
      <w:r w:rsidR="00717B8A">
        <w:rPr>
          <w:rFonts w:ascii="Arial" w:hAnsi="Arial" w:cs="Arial"/>
        </w:rPr>
        <w:t xml:space="preserve"> </w:t>
      </w:r>
      <w:r w:rsidR="00717B8A" w:rsidRPr="00717B8A">
        <w:rPr>
          <w:rFonts w:ascii="Arial" w:hAnsi="Arial" w:cs="Arial"/>
        </w:rPr>
        <w:t>Troubles and whose lives were irrevocably changed by incidents in that</w:t>
      </w:r>
      <w:r w:rsidR="00717B8A">
        <w:rPr>
          <w:rFonts w:ascii="Arial" w:hAnsi="Arial" w:cs="Arial"/>
        </w:rPr>
        <w:t xml:space="preserve"> </w:t>
      </w:r>
      <w:r w:rsidR="00717B8A" w:rsidRPr="00717B8A">
        <w:rPr>
          <w:rFonts w:ascii="Arial" w:hAnsi="Arial" w:cs="Arial"/>
        </w:rPr>
        <w:t>dark period of our past. Other state-sponsored mechanisms are also in</w:t>
      </w:r>
      <w:r w:rsidR="00717B8A">
        <w:rPr>
          <w:rFonts w:ascii="Arial" w:hAnsi="Arial" w:cs="Arial"/>
        </w:rPr>
        <w:t xml:space="preserve"> </w:t>
      </w:r>
      <w:r w:rsidR="00717B8A" w:rsidRPr="00717B8A">
        <w:rPr>
          <w:rFonts w:ascii="Arial" w:hAnsi="Arial" w:cs="Arial"/>
        </w:rPr>
        <w:t>place to support and recompense those injured in crime and criminality</w:t>
      </w:r>
      <w:r w:rsidR="00717B8A">
        <w:rPr>
          <w:rFonts w:ascii="Arial" w:hAnsi="Arial" w:cs="Arial"/>
        </w:rPr>
        <w:t xml:space="preserve"> </w:t>
      </w:r>
      <w:r w:rsidR="00717B8A" w:rsidRPr="00717B8A">
        <w:rPr>
          <w:rFonts w:ascii="Arial" w:hAnsi="Arial" w:cs="Arial"/>
        </w:rPr>
        <w:t>today, including victims of paramilitary activity.</w:t>
      </w:r>
    </w:p>
    <w:p w14:paraId="27275E0C" w14:textId="41DD0E45" w:rsidR="00717B8A" w:rsidRPr="00717B8A" w:rsidRDefault="00717B8A" w:rsidP="00717B8A">
      <w:pPr>
        <w:ind w:left="720" w:hanging="720"/>
        <w:jc w:val="both"/>
        <w:rPr>
          <w:rFonts w:ascii="Arial" w:hAnsi="Arial" w:cs="Arial"/>
        </w:rPr>
      </w:pPr>
      <w:r w:rsidRPr="00717B8A">
        <w:rPr>
          <w:rFonts w:ascii="Arial" w:hAnsi="Arial" w:cs="Arial"/>
        </w:rPr>
        <w:t>64.</w:t>
      </w:r>
      <w:r>
        <w:rPr>
          <w:rFonts w:ascii="Arial" w:hAnsi="Arial" w:cs="Arial"/>
        </w:rPr>
        <w:tab/>
      </w:r>
      <w:r w:rsidRPr="00717B8A">
        <w:rPr>
          <w:rFonts w:ascii="Arial" w:hAnsi="Arial" w:cs="Arial"/>
        </w:rPr>
        <w:t>In the Stormont House Agreement our political leaders recognised that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Northern Ireland was in transition to long-term peace and stability, but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that an approach to dealing with the past was necessary. But there was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also recognition that the past was firmly in the past. Although the Fresh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Start Agreement set out a commitment to deal with the scourge of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paramilitarism, there was no suggestion of equating organised criminality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 xml:space="preserve">and dissident violence - often in response to the peace process </w:t>
      </w:r>
      <w:r>
        <w:rPr>
          <w:rFonts w:ascii="Arial" w:hAnsi="Arial" w:cs="Arial"/>
        </w:rPr>
        <w:t>–</w:t>
      </w:r>
      <w:r w:rsidRPr="00717B8A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the everyday horrors of the Troubles.</w:t>
      </w:r>
    </w:p>
    <w:p w14:paraId="7A7E03C1" w14:textId="6DEF9C8B" w:rsidR="00717B8A" w:rsidRPr="00717B8A" w:rsidRDefault="00717B8A" w:rsidP="00717B8A">
      <w:pPr>
        <w:ind w:left="720" w:hanging="720"/>
        <w:jc w:val="both"/>
        <w:rPr>
          <w:rFonts w:ascii="Arial" w:hAnsi="Arial" w:cs="Arial"/>
        </w:rPr>
      </w:pPr>
      <w:r w:rsidRPr="00717B8A">
        <w:rPr>
          <w:rFonts w:ascii="Arial" w:hAnsi="Arial" w:cs="Arial"/>
        </w:rPr>
        <w:t xml:space="preserve">65. </w:t>
      </w:r>
      <w:r>
        <w:rPr>
          <w:rFonts w:ascii="Arial" w:hAnsi="Arial" w:cs="Arial"/>
        </w:rPr>
        <w:tab/>
      </w:r>
      <w:r w:rsidRPr="00717B8A">
        <w:rPr>
          <w:rFonts w:ascii="Arial" w:hAnsi="Arial" w:cs="Arial"/>
        </w:rPr>
        <w:t>Given the journey of Northern Ireland society since the signing of the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Belfast/Good Friday Agreement</w:t>
      </w:r>
      <w:r w:rsidR="00590DB8">
        <w:rPr>
          <w:rFonts w:ascii="Arial" w:hAnsi="Arial" w:cs="Arial"/>
        </w:rPr>
        <w:t>…</w:t>
      </w:r>
      <w:r w:rsidRPr="00717B8A">
        <w:rPr>
          <w:rFonts w:ascii="Arial" w:hAnsi="Arial" w:cs="Arial"/>
        </w:rPr>
        <w:t>the difference between the present day and the height of the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Troubles, we do not believe that it would be appropriate to have an open</w:t>
      </w:r>
      <w:r>
        <w:rPr>
          <w:rFonts w:ascii="Arial" w:hAnsi="Arial" w:cs="Arial"/>
        </w:rPr>
        <w:t xml:space="preserve"> </w:t>
      </w:r>
      <w:r w:rsidRPr="00717B8A">
        <w:rPr>
          <w:rFonts w:ascii="Arial" w:hAnsi="Arial" w:cs="Arial"/>
        </w:rPr>
        <w:t>ended scheme and to imply that the Troubles continue today</w:t>
      </w:r>
      <w:r w:rsidR="00623155">
        <w:rPr>
          <w:rFonts w:ascii="Arial" w:hAnsi="Arial" w:cs="Arial"/>
        </w:rPr>
        <w:t>….</w:t>
      </w:r>
      <w:r w:rsidRPr="00A86D88">
        <w:rPr>
          <w:rFonts w:ascii="Arial" w:hAnsi="Arial" w:cs="Arial"/>
          <w:u w:val="single"/>
        </w:rPr>
        <w:t>The Board overseeing the scheme will also have a limited discretion to consider incidents either before or after these dates which appear to be so manifestly Troubles-related that it would be right to consider them in the interests of reconciliation and fulfilling the aims of the scheme</w:t>
      </w:r>
      <w:r w:rsidRPr="00717B8A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sectPr w:rsidR="00717B8A" w:rsidRPr="00717B8A" w:rsidSect="00875107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581D" w14:textId="77777777" w:rsidR="004E3620" w:rsidRDefault="004E3620" w:rsidP="00875107">
      <w:pPr>
        <w:spacing w:after="0" w:line="240" w:lineRule="auto"/>
      </w:pPr>
      <w:r>
        <w:separator/>
      </w:r>
    </w:p>
  </w:endnote>
  <w:endnote w:type="continuationSeparator" w:id="0">
    <w:p w14:paraId="2B453D88" w14:textId="77777777" w:rsidR="004E3620" w:rsidRDefault="004E3620" w:rsidP="008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B090" w14:textId="77777777" w:rsidR="004E3620" w:rsidRDefault="004E3620" w:rsidP="00875107">
      <w:pPr>
        <w:spacing w:after="0" w:line="240" w:lineRule="auto"/>
      </w:pPr>
      <w:r>
        <w:separator/>
      </w:r>
    </w:p>
  </w:footnote>
  <w:footnote w:type="continuationSeparator" w:id="0">
    <w:p w14:paraId="17D51B7B" w14:textId="77777777" w:rsidR="004E3620" w:rsidRDefault="004E3620" w:rsidP="0087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EAF2" w14:textId="40B434B1" w:rsidR="00875107" w:rsidRDefault="00875107" w:rsidP="00875107">
    <w:pPr>
      <w:pStyle w:val="Header"/>
      <w:jc w:val="center"/>
    </w:pPr>
    <w:r w:rsidRPr="00C1072E">
      <w:rPr>
        <w:rFonts w:ascii="Arial" w:hAnsi="Arial" w:cs="Arial"/>
        <w:noProof/>
        <w:lang w:eastAsia="en-GB"/>
      </w:rPr>
      <w:drawing>
        <wp:inline distT="0" distB="0" distL="0" distR="0" wp14:anchorId="5C564364" wp14:editId="74642C0A">
          <wp:extent cx="1331366" cy="1331366"/>
          <wp:effectExtent l="0" t="0" r="2540" b="2540"/>
          <wp:docPr id="1" name="Picture 1" descr="C:\Users\2287878\Pictures\Saved Pictures\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87878\Pictures\Saved Pictures\se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74" cy="135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617B"/>
    <w:multiLevelType w:val="hybridMultilevel"/>
    <w:tmpl w:val="F5DA2E9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6321CED"/>
    <w:multiLevelType w:val="hybridMultilevel"/>
    <w:tmpl w:val="F8568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3421">
    <w:abstractNumId w:val="1"/>
  </w:num>
  <w:num w:numId="2" w16cid:durableId="90977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E7"/>
    <w:rsid w:val="00014725"/>
    <w:rsid w:val="00051A69"/>
    <w:rsid w:val="000D3FBF"/>
    <w:rsid w:val="00157DD9"/>
    <w:rsid w:val="00184CA3"/>
    <w:rsid w:val="00184E41"/>
    <w:rsid w:val="00185F0D"/>
    <w:rsid w:val="00193B24"/>
    <w:rsid w:val="001B2452"/>
    <w:rsid w:val="001E0CF3"/>
    <w:rsid w:val="001E5299"/>
    <w:rsid w:val="002856C6"/>
    <w:rsid w:val="002E0191"/>
    <w:rsid w:val="003131B6"/>
    <w:rsid w:val="00363644"/>
    <w:rsid w:val="003D3A70"/>
    <w:rsid w:val="00422B4A"/>
    <w:rsid w:val="004232C9"/>
    <w:rsid w:val="00443E2B"/>
    <w:rsid w:val="004528E7"/>
    <w:rsid w:val="004A2E1F"/>
    <w:rsid w:val="004D1D30"/>
    <w:rsid w:val="004E3620"/>
    <w:rsid w:val="005174E1"/>
    <w:rsid w:val="005837E7"/>
    <w:rsid w:val="005847B7"/>
    <w:rsid w:val="00590DB8"/>
    <w:rsid w:val="005D15EE"/>
    <w:rsid w:val="005F067B"/>
    <w:rsid w:val="00623155"/>
    <w:rsid w:val="0063083A"/>
    <w:rsid w:val="00652E51"/>
    <w:rsid w:val="006A0BD8"/>
    <w:rsid w:val="00717B8A"/>
    <w:rsid w:val="00730D9B"/>
    <w:rsid w:val="00760D97"/>
    <w:rsid w:val="007A102B"/>
    <w:rsid w:val="007A2D2B"/>
    <w:rsid w:val="00875107"/>
    <w:rsid w:val="008B7487"/>
    <w:rsid w:val="008F1A3E"/>
    <w:rsid w:val="008F6DFC"/>
    <w:rsid w:val="00972CF2"/>
    <w:rsid w:val="00997671"/>
    <w:rsid w:val="009C03C3"/>
    <w:rsid w:val="00A73205"/>
    <w:rsid w:val="00A86D88"/>
    <w:rsid w:val="00AB4749"/>
    <w:rsid w:val="00AC6934"/>
    <w:rsid w:val="00AE1667"/>
    <w:rsid w:val="00B06A3A"/>
    <w:rsid w:val="00B3624B"/>
    <w:rsid w:val="00B97F7D"/>
    <w:rsid w:val="00C1072E"/>
    <w:rsid w:val="00C359AE"/>
    <w:rsid w:val="00C51154"/>
    <w:rsid w:val="00CF4376"/>
    <w:rsid w:val="00D00994"/>
    <w:rsid w:val="00D22D67"/>
    <w:rsid w:val="00D3652D"/>
    <w:rsid w:val="00D76D10"/>
    <w:rsid w:val="00E06665"/>
    <w:rsid w:val="00E1411C"/>
    <w:rsid w:val="00E27F3C"/>
    <w:rsid w:val="00E83B83"/>
    <w:rsid w:val="00EA69CF"/>
    <w:rsid w:val="00EC5730"/>
    <w:rsid w:val="00F20440"/>
    <w:rsid w:val="00F47454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12E6"/>
  <w15:chartTrackingRefBased/>
  <w15:docId w15:val="{25499ED2-9C3D-49ED-825D-1A3DF0E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8E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528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6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9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03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5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07"/>
  </w:style>
  <w:style w:type="paragraph" w:styleId="Footer">
    <w:name w:val="footer"/>
    <w:basedOn w:val="Normal"/>
    <w:link w:val="FooterChar"/>
    <w:uiPriority w:val="99"/>
    <w:unhideWhenUsed/>
    <w:rsid w:val="00875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5e34692a40f0b60912e21f0f/VP_consultation_govt_respons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B0BE-1C02-4A12-987D-8B5EF78E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3637</Characters>
  <Application>Microsoft Office Word</Application>
  <DocSecurity>0</DocSecurity>
  <Lines>103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Mullan, Geraldine</dc:creator>
  <cp:keywords/>
  <dc:description/>
  <cp:lastModifiedBy>Close, Angela</cp:lastModifiedBy>
  <cp:revision>2</cp:revision>
  <dcterms:created xsi:type="dcterms:W3CDTF">2025-02-10T13:15:00Z</dcterms:created>
  <dcterms:modified xsi:type="dcterms:W3CDTF">2025-02-10T13:15:00Z</dcterms:modified>
</cp:coreProperties>
</file>