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932D" w14:textId="0E6AC814" w:rsidR="00332408" w:rsidRDefault="00332408">
      <w:pPr>
        <w:rPr>
          <w:lang w:val="en-US"/>
        </w:rPr>
      </w:pPr>
      <w:r w:rsidRPr="0092025A">
        <w:rPr>
          <w:rFonts w:ascii="Arial" w:hAnsi="Arial" w:cs="Arial"/>
          <w:b/>
          <w:noProof/>
          <w:sz w:val="24"/>
          <w:szCs w:val="24"/>
          <w:lang w:eastAsia="en-GB"/>
        </w:rPr>
        <w:drawing>
          <wp:anchor distT="0" distB="0" distL="114300" distR="114300" simplePos="0" relativeHeight="251659264" behindDoc="0" locked="0" layoutInCell="1" allowOverlap="1" wp14:anchorId="111B58C3" wp14:editId="3B7B510D">
            <wp:simplePos x="0" y="0"/>
            <wp:positionH relativeFrom="margin">
              <wp:align>center</wp:align>
            </wp:positionH>
            <wp:positionV relativeFrom="paragraph">
              <wp:posOffset>-292735</wp:posOffset>
            </wp:positionV>
            <wp:extent cx="1641838" cy="670836"/>
            <wp:effectExtent l="0" t="0" r="0" b="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rotWithShape="1">
                    <a:blip r:embed="rId7" cstate="print">
                      <a:extLst>
                        <a:ext uri="{28A0092B-C50C-407E-A947-70E740481C1C}">
                          <a14:useLocalDpi xmlns:a14="http://schemas.microsoft.com/office/drawing/2010/main" val="0"/>
                        </a:ext>
                      </a:extLst>
                    </a:blip>
                    <a:srcRect l="-1288" t="19961" r="1288" b="21125"/>
                    <a:stretch/>
                  </pic:blipFill>
                  <pic:spPr bwMode="auto">
                    <a:xfrm>
                      <a:off x="0" y="0"/>
                      <a:ext cx="1641838" cy="6708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A141A4" w14:textId="7AB860E9" w:rsidR="00332408" w:rsidRDefault="00332408">
      <w:pPr>
        <w:rPr>
          <w:lang w:val="en-US"/>
        </w:rPr>
      </w:pPr>
    </w:p>
    <w:p w14:paraId="040999EF" w14:textId="77777777" w:rsidR="008026F3" w:rsidRDefault="008026F3" w:rsidP="008026F3">
      <w:pPr>
        <w:spacing w:line="480" w:lineRule="auto"/>
        <w:jc w:val="both"/>
        <w:rPr>
          <w:rFonts w:ascii="Arial" w:hAnsi="Arial" w:cs="Arial"/>
          <w:b/>
          <w:u w:val="single"/>
          <w:lang w:val="en-US"/>
        </w:rPr>
      </w:pPr>
    </w:p>
    <w:p w14:paraId="60F47F16" w14:textId="653381DB" w:rsidR="008026F3" w:rsidRPr="00C765F7" w:rsidRDefault="008026F3" w:rsidP="008026F3">
      <w:pPr>
        <w:spacing w:line="480" w:lineRule="auto"/>
        <w:jc w:val="both"/>
        <w:rPr>
          <w:rFonts w:ascii="Arial" w:hAnsi="Arial" w:cs="Arial"/>
          <w:b/>
          <w:u w:val="single"/>
          <w:lang w:val="en-US"/>
        </w:rPr>
      </w:pPr>
      <w:r w:rsidRPr="00C765F7">
        <w:rPr>
          <w:rFonts w:ascii="Arial" w:hAnsi="Arial" w:cs="Arial"/>
          <w:b/>
          <w:u w:val="single"/>
          <w:lang w:val="en-US"/>
        </w:rPr>
        <w:t xml:space="preserve">GUIDANCE NOTE </w:t>
      </w:r>
      <w:r>
        <w:rPr>
          <w:rFonts w:ascii="Arial" w:hAnsi="Arial" w:cs="Arial"/>
          <w:b/>
          <w:u w:val="single"/>
          <w:lang w:val="en-US"/>
        </w:rPr>
        <w:t>(GN19/24)</w:t>
      </w:r>
    </w:p>
    <w:p w14:paraId="5B7D234C" w14:textId="77777777" w:rsidR="008026F3" w:rsidRDefault="008026F3" w:rsidP="008026F3">
      <w:pPr>
        <w:spacing w:line="360" w:lineRule="auto"/>
        <w:rPr>
          <w:rFonts w:ascii="Arial" w:hAnsi="Arial" w:cs="Arial"/>
          <w:b/>
          <w:u w:val="single"/>
          <w:lang w:val="en-US"/>
        </w:rPr>
      </w:pPr>
      <w:r>
        <w:rPr>
          <w:rFonts w:ascii="Arial" w:hAnsi="Arial" w:cs="Arial"/>
          <w:b/>
          <w:u w:val="single"/>
          <w:lang w:val="en-US"/>
        </w:rPr>
        <w:t>Evidence on Oath</w:t>
      </w:r>
    </w:p>
    <w:p w14:paraId="6F56F4C3" w14:textId="77777777" w:rsidR="00F403EF" w:rsidRPr="00446869" w:rsidRDefault="00F403EF" w:rsidP="00446869">
      <w:pPr>
        <w:spacing w:line="360" w:lineRule="auto"/>
        <w:rPr>
          <w:rFonts w:ascii="Arial" w:hAnsi="Arial" w:cs="Arial"/>
          <w:sz w:val="24"/>
          <w:szCs w:val="24"/>
        </w:rPr>
      </w:pPr>
      <w:r w:rsidRPr="00446869">
        <w:rPr>
          <w:rFonts w:ascii="Arial" w:hAnsi="Arial" w:cs="Arial"/>
          <w:sz w:val="24"/>
          <w:szCs w:val="24"/>
        </w:rPr>
        <w:t xml:space="preserve">Statutory Authority </w:t>
      </w:r>
    </w:p>
    <w:p w14:paraId="47B46A5C" w14:textId="35D66E3F" w:rsidR="00446869" w:rsidRDefault="00F403EF" w:rsidP="00F67B48">
      <w:pPr>
        <w:pStyle w:val="ListParagraph"/>
        <w:numPr>
          <w:ilvl w:val="0"/>
          <w:numId w:val="4"/>
        </w:numPr>
        <w:spacing w:before="240" w:line="360" w:lineRule="auto"/>
        <w:jc w:val="both"/>
        <w:rPr>
          <w:rFonts w:ascii="Arial" w:hAnsi="Arial" w:cs="Arial"/>
          <w:sz w:val="24"/>
          <w:szCs w:val="24"/>
        </w:rPr>
      </w:pPr>
      <w:r w:rsidRPr="00446869">
        <w:rPr>
          <w:rFonts w:ascii="Arial" w:hAnsi="Arial" w:cs="Arial"/>
          <w:sz w:val="24"/>
          <w:szCs w:val="24"/>
        </w:rPr>
        <w:t xml:space="preserve">Under Schedule 1 paragraph 2(3) to the Victims’ Payments Regulations 2020, the Victims’ Payment Board may do anything it considers to be appropriate for facilitating, or to be incidental or conducive to, the exercise of its functions. </w:t>
      </w:r>
    </w:p>
    <w:p w14:paraId="6DFC54A6" w14:textId="77777777" w:rsidR="00446869" w:rsidRPr="00446869" w:rsidRDefault="00446869" w:rsidP="00F67B48">
      <w:pPr>
        <w:pStyle w:val="ListParagraph"/>
        <w:spacing w:before="240" w:line="360" w:lineRule="auto"/>
        <w:ind w:left="360"/>
        <w:jc w:val="both"/>
        <w:rPr>
          <w:rFonts w:ascii="Arial" w:hAnsi="Arial" w:cs="Arial"/>
          <w:sz w:val="24"/>
          <w:szCs w:val="24"/>
        </w:rPr>
      </w:pPr>
    </w:p>
    <w:p w14:paraId="7FED29D5" w14:textId="56A7BD83" w:rsidR="00446869" w:rsidRDefault="00F403EF" w:rsidP="00F67B48">
      <w:pPr>
        <w:pStyle w:val="ListParagraph"/>
        <w:numPr>
          <w:ilvl w:val="0"/>
          <w:numId w:val="4"/>
        </w:numPr>
        <w:spacing w:before="240" w:line="360" w:lineRule="auto"/>
        <w:jc w:val="both"/>
        <w:rPr>
          <w:rFonts w:ascii="Arial" w:hAnsi="Arial" w:cs="Arial"/>
          <w:sz w:val="24"/>
          <w:szCs w:val="24"/>
        </w:rPr>
      </w:pPr>
      <w:r w:rsidRPr="00446869">
        <w:rPr>
          <w:rFonts w:ascii="Arial" w:hAnsi="Arial" w:cs="Arial"/>
          <w:sz w:val="24"/>
          <w:szCs w:val="24"/>
        </w:rPr>
        <w:t xml:space="preserve">The President of the Victims’ Payment Board under Schedule 1 paragraph 4(3) to the Regulations is responsible for ensuring the efficient and effective discharge of the Board’s functions. </w:t>
      </w:r>
    </w:p>
    <w:p w14:paraId="68206D9E" w14:textId="77777777" w:rsidR="00446869" w:rsidRPr="00446869" w:rsidRDefault="00446869" w:rsidP="00F67B48">
      <w:pPr>
        <w:pStyle w:val="ListParagraph"/>
        <w:spacing w:before="240" w:line="360" w:lineRule="auto"/>
        <w:ind w:left="360"/>
        <w:jc w:val="both"/>
        <w:rPr>
          <w:rFonts w:ascii="Arial" w:hAnsi="Arial" w:cs="Arial"/>
          <w:sz w:val="24"/>
          <w:szCs w:val="24"/>
        </w:rPr>
      </w:pPr>
    </w:p>
    <w:p w14:paraId="1F657328" w14:textId="28BDD421" w:rsidR="00446869" w:rsidRPr="00446869" w:rsidRDefault="00F403EF" w:rsidP="00F67B48">
      <w:pPr>
        <w:pStyle w:val="ListParagraph"/>
        <w:numPr>
          <w:ilvl w:val="0"/>
          <w:numId w:val="4"/>
        </w:numPr>
        <w:spacing w:before="240" w:line="360" w:lineRule="auto"/>
        <w:jc w:val="both"/>
        <w:rPr>
          <w:rFonts w:ascii="Arial" w:hAnsi="Arial" w:cs="Arial"/>
          <w:sz w:val="24"/>
          <w:szCs w:val="24"/>
        </w:rPr>
      </w:pPr>
      <w:r w:rsidRPr="00446869">
        <w:rPr>
          <w:rFonts w:ascii="Arial" w:hAnsi="Arial" w:cs="Arial"/>
          <w:sz w:val="24"/>
          <w:szCs w:val="24"/>
        </w:rPr>
        <w:t xml:space="preserve">Under Schedule 1 paragraph 1(1) to the Regulations, the Board has been established as a body corporate and under Schedule 1 paragraph 1(3) to the Regulations and section 19(1)(a)(v) of the Interpretation Act (NI) 1954, it has the right to regulate its own procedure and business. </w:t>
      </w:r>
    </w:p>
    <w:p w14:paraId="60554C37" w14:textId="77777777" w:rsidR="00446869" w:rsidRDefault="00446869" w:rsidP="00F67B48">
      <w:pPr>
        <w:pStyle w:val="ListParagraph"/>
        <w:spacing w:before="240" w:line="360" w:lineRule="auto"/>
        <w:ind w:left="360"/>
        <w:jc w:val="both"/>
        <w:rPr>
          <w:rFonts w:ascii="Arial" w:hAnsi="Arial" w:cs="Arial"/>
          <w:sz w:val="24"/>
          <w:szCs w:val="24"/>
        </w:rPr>
      </w:pPr>
    </w:p>
    <w:p w14:paraId="011B0C31" w14:textId="47EE731A" w:rsidR="00446869" w:rsidRPr="00446869" w:rsidRDefault="001E45A7" w:rsidP="00F67B48">
      <w:pPr>
        <w:pStyle w:val="ListParagraph"/>
        <w:numPr>
          <w:ilvl w:val="0"/>
          <w:numId w:val="4"/>
        </w:numPr>
        <w:spacing w:before="240" w:line="360" w:lineRule="auto"/>
        <w:jc w:val="both"/>
        <w:rPr>
          <w:rFonts w:ascii="Arial" w:hAnsi="Arial" w:cs="Arial"/>
          <w:sz w:val="24"/>
          <w:szCs w:val="24"/>
        </w:rPr>
      </w:pPr>
      <w:r w:rsidRPr="00446869">
        <w:rPr>
          <w:rFonts w:ascii="Arial" w:hAnsi="Arial" w:cs="Arial"/>
          <w:sz w:val="24"/>
          <w:szCs w:val="24"/>
        </w:rPr>
        <w:t>Under Schedule 1 paragraph 11(2) to the Regulations, the Board may administer oaths for the purposes of these Regulations.</w:t>
      </w:r>
    </w:p>
    <w:p w14:paraId="0165195A" w14:textId="77777777" w:rsidR="00446869" w:rsidRDefault="00446869" w:rsidP="00F67B48">
      <w:pPr>
        <w:pStyle w:val="ListParagraph"/>
        <w:spacing w:before="240" w:line="360" w:lineRule="auto"/>
        <w:jc w:val="both"/>
        <w:rPr>
          <w:rFonts w:ascii="Arial" w:hAnsi="Arial" w:cs="Arial"/>
          <w:sz w:val="24"/>
          <w:szCs w:val="24"/>
        </w:rPr>
      </w:pPr>
    </w:p>
    <w:p w14:paraId="194A03ED" w14:textId="7C270E86" w:rsidR="00F403EF" w:rsidRPr="00446869" w:rsidRDefault="00F403EF" w:rsidP="00F67B48">
      <w:pPr>
        <w:pStyle w:val="ListParagraph"/>
        <w:numPr>
          <w:ilvl w:val="0"/>
          <w:numId w:val="1"/>
        </w:numPr>
        <w:spacing w:before="240" w:line="360" w:lineRule="auto"/>
        <w:jc w:val="both"/>
        <w:rPr>
          <w:rFonts w:ascii="Arial" w:hAnsi="Arial" w:cs="Arial"/>
          <w:sz w:val="24"/>
          <w:szCs w:val="24"/>
        </w:rPr>
      </w:pPr>
      <w:r w:rsidRPr="00446869">
        <w:rPr>
          <w:rFonts w:ascii="Arial" w:hAnsi="Arial" w:cs="Arial"/>
          <w:sz w:val="24"/>
          <w:szCs w:val="24"/>
        </w:rPr>
        <w:t>This Guidance Note is issued in accordance with Regulation 4 of the Victims’ Payment Regulations 2020 and the principles set out therein, in particular the need to be responsive to the needs of victims; the need to be transparent and communicate effectively; and the need for the Scheme to be straightforward and simple to navigate.</w:t>
      </w:r>
    </w:p>
    <w:p w14:paraId="40C5B7C0" w14:textId="77777777" w:rsidR="00446869" w:rsidRDefault="00446869" w:rsidP="00F67B48">
      <w:pPr>
        <w:pStyle w:val="ListParagraph"/>
        <w:spacing w:before="240" w:line="360" w:lineRule="auto"/>
        <w:jc w:val="both"/>
        <w:rPr>
          <w:rFonts w:ascii="Arial" w:hAnsi="Arial" w:cs="Arial"/>
          <w:sz w:val="24"/>
          <w:szCs w:val="24"/>
          <w:lang w:val="en-US"/>
        </w:rPr>
      </w:pPr>
    </w:p>
    <w:p w14:paraId="5AFBE992" w14:textId="21C29473" w:rsidR="00F403EF" w:rsidRPr="00446869" w:rsidRDefault="007F40A2" w:rsidP="00F67B48">
      <w:pPr>
        <w:pStyle w:val="ListParagraph"/>
        <w:numPr>
          <w:ilvl w:val="0"/>
          <w:numId w:val="1"/>
        </w:numPr>
        <w:spacing w:before="240" w:line="360" w:lineRule="auto"/>
        <w:jc w:val="both"/>
        <w:rPr>
          <w:rFonts w:ascii="Arial" w:hAnsi="Arial" w:cs="Arial"/>
          <w:sz w:val="24"/>
          <w:szCs w:val="24"/>
          <w:lang w:val="en-US"/>
        </w:rPr>
      </w:pPr>
      <w:r w:rsidRPr="00446869">
        <w:rPr>
          <w:rFonts w:ascii="Arial" w:hAnsi="Arial" w:cs="Arial"/>
          <w:sz w:val="24"/>
          <w:szCs w:val="24"/>
          <w:lang w:val="en-US"/>
        </w:rPr>
        <w:t>In accordance with r</w:t>
      </w:r>
      <w:r w:rsidR="00F403EF" w:rsidRPr="00446869">
        <w:rPr>
          <w:rFonts w:ascii="Arial" w:hAnsi="Arial" w:cs="Arial"/>
          <w:sz w:val="24"/>
          <w:szCs w:val="24"/>
          <w:lang w:val="en-US"/>
        </w:rPr>
        <w:t>egulation 39(2) an appeal panel, may, if it considers it necessary in the interests of justice to do so, direct that evidence at an oral hearing is to be given on oath.</w:t>
      </w:r>
    </w:p>
    <w:p w14:paraId="3B3027C7" w14:textId="77777777" w:rsidR="00446869" w:rsidRPr="00446869" w:rsidRDefault="00446869" w:rsidP="00F67B48">
      <w:pPr>
        <w:pStyle w:val="ListParagraph"/>
        <w:spacing w:before="240" w:line="360" w:lineRule="auto"/>
        <w:jc w:val="both"/>
        <w:rPr>
          <w:rFonts w:ascii="Arial" w:hAnsi="Arial" w:cs="Arial"/>
          <w:sz w:val="24"/>
          <w:szCs w:val="24"/>
          <w:lang w:val="en-US"/>
        </w:rPr>
      </w:pPr>
    </w:p>
    <w:p w14:paraId="7E35BD60" w14:textId="1E8A501D" w:rsidR="00F25A5F" w:rsidRPr="00446869" w:rsidRDefault="00C85FCE" w:rsidP="00F67B48">
      <w:pPr>
        <w:pStyle w:val="ListParagraph"/>
        <w:numPr>
          <w:ilvl w:val="0"/>
          <w:numId w:val="1"/>
        </w:numPr>
        <w:spacing w:before="240" w:line="360" w:lineRule="auto"/>
        <w:jc w:val="both"/>
        <w:rPr>
          <w:rFonts w:ascii="Arial" w:hAnsi="Arial" w:cs="Arial"/>
          <w:sz w:val="24"/>
          <w:szCs w:val="24"/>
          <w:lang w:val="en-US"/>
        </w:rPr>
      </w:pPr>
      <w:r w:rsidRPr="00446869">
        <w:rPr>
          <w:rFonts w:ascii="Arial" w:hAnsi="Arial" w:cs="Arial"/>
          <w:sz w:val="24"/>
          <w:szCs w:val="24"/>
        </w:rPr>
        <w:t xml:space="preserve">Where a first instance panel considers an oral hearing is necessary, having regard to the exceptional circumstances of the application, the </w:t>
      </w:r>
      <w:r w:rsidRPr="00446869">
        <w:rPr>
          <w:rFonts w:ascii="Arial" w:hAnsi="Arial" w:cs="Arial"/>
          <w:sz w:val="24"/>
          <w:szCs w:val="24"/>
          <w:lang w:val="en-US"/>
        </w:rPr>
        <w:t>panel, may, if it considers it necessary</w:t>
      </w:r>
      <w:r w:rsidR="00D90E4C" w:rsidRPr="00446869">
        <w:rPr>
          <w:rFonts w:ascii="Arial" w:hAnsi="Arial" w:cs="Arial"/>
          <w:sz w:val="24"/>
          <w:szCs w:val="24"/>
          <w:lang w:val="en-US"/>
        </w:rPr>
        <w:t xml:space="preserve"> in the interests of justice</w:t>
      </w:r>
      <w:r w:rsidRPr="00446869">
        <w:rPr>
          <w:rFonts w:ascii="Arial" w:hAnsi="Arial" w:cs="Arial"/>
          <w:sz w:val="24"/>
          <w:szCs w:val="24"/>
          <w:lang w:val="en-US"/>
        </w:rPr>
        <w:t xml:space="preserve"> direct that evidence at an oral hearing is to be given on oath.</w:t>
      </w:r>
    </w:p>
    <w:p w14:paraId="6B6DEF3F" w14:textId="77777777" w:rsidR="00446869" w:rsidRDefault="00446869" w:rsidP="00F67B48">
      <w:pPr>
        <w:pStyle w:val="ListParagraph"/>
        <w:spacing w:before="240" w:line="360" w:lineRule="auto"/>
        <w:jc w:val="both"/>
        <w:rPr>
          <w:rFonts w:ascii="Arial" w:hAnsi="Arial" w:cs="Arial"/>
          <w:sz w:val="24"/>
          <w:szCs w:val="24"/>
          <w:lang w:val="en-US"/>
        </w:rPr>
      </w:pPr>
    </w:p>
    <w:p w14:paraId="74C97B68" w14:textId="4172C7F6" w:rsidR="007F40A2" w:rsidRPr="00446869" w:rsidRDefault="00D90E4C" w:rsidP="00F67B48">
      <w:pPr>
        <w:pStyle w:val="ListParagraph"/>
        <w:numPr>
          <w:ilvl w:val="0"/>
          <w:numId w:val="1"/>
        </w:numPr>
        <w:spacing w:before="240" w:line="360" w:lineRule="auto"/>
        <w:jc w:val="both"/>
        <w:rPr>
          <w:rFonts w:ascii="Arial" w:hAnsi="Arial" w:cs="Arial"/>
          <w:sz w:val="24"/>
          <w:szCs w:val="24"/>
          <w:lang w:val="en-US"/>
        </w:rPr>
      </w:pPr>
      <w:r w:rsidRPr="00446869">
        <w:rPr>
          <w:rFonts w:ascii="Arial" w:hAnsi="Arial" w:cs="Arial"/>
          <w:sz w:val="24"/>
          <w:szCs w:val="24"/>
          <w:lang w:val="en-US"/>
        </w:rPr>
        <w:t xml:space="preserve">In terms of what </w:t>
      </w:r>
      <w:r w:rsidR="00E54E8E" w:rsidRPr="00446869">
        <w:rPr>
          <w:rFonts w:ascii="Arial" w:hAnsi="Arial" w:cs="Arial"/>
          <w:sz w:val="24"/>
          <w:szCs w:val="24"/>
          <w:lang w:val="en-US"/>
        </w:rPr>
        <w:t>a panel may</w:t>
      </w:r>
      <w:r w:rsidRPr="00446869">
        <w:rPr>
          <w:rFonts w:ascii="Arial" w:hAnsi="Arial" w:cs="Arial"/>
          <w:sz w:val="24"/>
          <w:szCs w:val="24"/>
          <w:lang w:val="en-US"/>
        </w:rPr>
        <w:t xml:space="preserve"> consider</w:t>
      </w:r>
      <w:r w:rsidR="00E54E8E" w:rsidRPr="00446869">
        <w:rPr>
          <w:rFonts w:ascii="Arial" w:hAnsi="Arial" w:cs="Arial"/>
          <w:sz w:val="24"/>
          <w:szCs w:val="24"/>
          <w:lang w:val="en-US"/>
        </w:rPr>
        <w:t xml:space="preserve"> necessary in the interests of justice when </w:t>
      </w:r>
      <w:r w:rsidR="00F26A3B" w:rsidRPr="00446869">
        <w:rPr>
          <w:rFonts w:ascii="Arial" w:hAnsi="Arial" w:cs="Arial"/>
          <w:sz w:val="24"/>
          <w:szCs w:val="24"/>
          <w:lang w:val="en-US"/>
        </w:rPr>
        <w:t>directing</w:t>
      </w:r>
      <w:r w:rsidR="00E54E8E" w:rsidRPr="00446869">
        <w:rPr>
          <w:rFonts w:ascii="Arial" w:hAnsi="Arial" w:cs="Arial"/>
          <w:sz w:val="24"/>
          <w:szCs w:val="24"/>
          <w:lang w:val="en-US"/>
        </w:rPr>
        <w:t xml:space="preserve"> that evidence is to be given on oath, this could include</w:t>
      </w:r>
      <w:r w:rsidR="005746C9" w:rsidRPr="00446869">
        <w:rPr>
          <w:rFonts w:ascii="Arial" w:hAnsi="Arial" w:cs="Arial"/>
          <w:sz w:val="24"/>
          <w:szCs w:val="24"/>
          <w:lang w:val="en-US"/>
        </w:rPr>
        <w:t xml:space="preserve"> an important issue of evidence turning on credibility,</w:t>
      </w:r>
      <w:r w:rsidR="003D2251" w:rsidRPr="00446869">
        <w:rPr>
          <w:rFonts w:ascii="Arial" w:hAnsi="Arial" w:cs="Arial"/>
          <w:sz w:val="24"/>
          <w:szCs w:val="24"/>
          <w:lang w:val="en-US"/>
        </w:rPr>
        <w:t xml:space="preserve"> or where there is a </w:t>
      </w:r>
      <w:r w:rsidR="005746C9" w:rsidRPr="00446869">
        <w:rPr>
          <w:rFonts w:ascii="Arial" w:hAnsi="Arial" w:cs="Arial"/>
          <w:sz w:val="24"/>
          <w:szCs w:val="24"/>
          <w:lang w:val="en-US"/>
        </w:rPr>
        <w:t>need to emphasise gravity</w:t>
      </w:r>
      <w:r w:rsidR="00E54E8E" w:rsidRPr="00446869">
        <w:rPr>
          <w:rFonts w:ascii="Arial" w:hAnsi="Arial" w:cs="Arial"/>
          <w:sz w:val="24"/>
          <w:szCs w:val="24"/>
          <w:lang w:val="en-US"/>
        </w:rPr>
        <w:t>. The list is not exhaustive.</w:t>
      </w:r>
    </w:p>
    <w:p w14:paraId="19C9C33A" w14:textId="77777777" w:rsidR="00446869" w:rsidRDefault="00446869" w:rsidP="00F67B48">
      <w:pPr>
        <w:pStyle w:val="ListParagraph"/>
        <w:spacing w:before="240" w:line="360" w:lineRule="auto"/>
        <w:jc w:val="both"/>
        <w:rPr>
          <w:rFonts w:ascii="Arial" w:hAnsi="Arial" w:cs="Arial"/>
          <w:sz w:val="24"/>
          <w:szCs w:val="24"/>
          <w:lang w:val="en-US"/>
        </w:rPr>
      </w:pPr>
    </w:p>
    <w:p w14:paraId="722FA722" w14:textId="73803DA4" w:rsidR="00E54E8E" w:rsidRPr="00446869" w:rsidRDefault="00E54E8E" w:rsidP="00F67B48">
      <w:pPr>
        <w:pStyle w:val="ListParagraph"/>
        <w:numPr>
          <w:ilvl w:val="0"/>
          <w:numId w:val="1"/>
        </w:numPr>
        <w:spacing w:before="240" w:line="360" w:lineRule="auto"/>
        <w:jc w:val="both"/>
        <w:rPr>
          <w:rFonts w:ascii="Arial" w:hAnsi="Arial" w:cs="Arial"/>
          <w:sz w:val="24"/>
          <w:szCs w:val="24"/>
          <w:lang w:val="en-US"/>
        </w:rPr>
      </w:pPr>
      <w:r w:rsidRPr="00446869">
        <w:rPr>
          <w:rFonts w:ascii="Arial" w:hAnsi="Arial" w:cs="Arial"/>
          <w:sz w:val="24"/>
          <w:szCs w:val="24"/>
          <w:lang w:val="en-US"/>
        </w:rPr>
        <w:t>Where evidence is required to be given on oath the panel will explain the reasons for the request</w:t>
      </w:r>
      <w:r w:rsidR="00F26A3B" w:rsidRPr="00446869">
        <w:rPr>
          <w:rFonts w:ascii="Arial" w:hAnsi="Arial" w:cs="Arial"/>
          <w:sz w:val="24"/>
          <w:szCs w:val="24"/>
          <w:lang w:val="en-US"/>
        </w:rPr>
        <w:t xml:space="preserve"> and will </w:t>
      </w:r>
      <w:r w:rsidR="00F26A3B" w:rsidRPr="00446869">
        <w:rPr>
          <w:rFonts w:ascii="Arial" w:hAnsi="Arial" w:cs="Arial"/>
          <w:color w:val="000000"/>
          <w:sz w:val="24"/>
          <w:szCs w:val="24"/>
        </w:rPr>
        <w:t>explain to the applicant/appellant the method of taking the oath or of affirming and the manner in which the evidence will be taken.</w:t>
      </w:r>
      <w:r w:rsidR="009E4780" w:rsidRPr="00446869">
        <w:rPr>
          <w:rFonts w:ascii="Arial" w:hAnsi="Arial" w:cs="Arial"/>
          <w:color w:val="000000"/>
          <w:sz w:val="24"/>
          <w:szCs w:val="24"/>
        </w:rPr>
        <w:t xml:space="preserve"> The panel will further explain that anyone giving evidence on oath who makes a statement that they know to be false or does not believe to be true may be guilty of committing perjury. Where appropriate, the panel will adjourn to enable the applicant/appellant to have the opportunity to receive advice in respect of giving evidence on oath.</w:t>
      </w:r>
    </w:p>
    <w:p w14:paraId="61D8EBC1" w14:textId="0D87AD30" w:rsidR="00DE2857" w:rsidRPr="00446869" w:rsidRDefault="00DE2857" w:rsidP="00F67B48">
      <w:pPr>
        <w:pStyle w:val="ListParagraph"/>
        <w:spacing w:line="360" w:lineRule="auto"/>
        <w:jc w:val="both"/>
        <w:rPr>
          <w:rFonts w:ascii="Arial" w:hAnsi="Arial" w:cs="Arial"/>
          <w:sz w:val="24"/>
          <w:szCs w:val="24"/>
          <w:lang w:val="en-US"/>
        </w:rPr>
      </w:pPr>
    </w:p>
    <w:p w14:paraId="2EF52FBA" w14:textId="1B073D43" w:rsidR="005746C9" w:rsidRPr="00446869" w:rsidRDefault="005746C9" w:rsidP="00F67B48">
      <w:pPr>
        <w:pStyle w:val="ListParagraph"/>
        <w:spacing w:line="360" w:lineRule="auto"/>
        <w:jc w:val="both"/>
        <w:rPr>
          <w:rFonts w:ascii="Arial" w:hAnsi="Arial" w:cs="Arial"/>
          <w:sz w:val="24"/>
          <w:szCs w:val="24"/>
          <w:lang w:val="en-US"/>
        </w:rPr>
      </w:pPr>
    </w:p>
    <w:p w14:paraId="4F955546" w14:textId="77777777" w:rsidR="005746C9" w:rsidRPr="00446869" w:rsidRDefault="005746C9" w:rsidP="00F67B48">
      <w:pPr>
        <w:pStyle w:val="ListParagraph"/>
        <w:spacing w:line="360" w:lineRule="auto"/>
        <w:jc w:val="both"/>
        <w:rPr>
          <w:rFonts w:ascii="Arial" w:hAnsi="Arial" w:cs="Arial"/>
          <w:sz w:val="24"/>
          <w:szCs w:val="24"/>
          <w:lang w:val="en-US"/>
        </w:rPr>
      </w:pPr>
    </w:p>
    <w:sectPr w:rsidR="005746C9" w:rsidRPr="00446869" w:rsidSect="00446869">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E6F36" w14:textId="77777777" w:rsidR="00556CDF" w:rsidRDefault="00556CDF" w:rsidP="00446869">
      <w:pPr>
        <w:spacing w:after="0" w:line="240" w:lineRule="auto"/>
      </w:pPr>
      <w:r>
        <w:separator/>
      </w:r>
    </w:p>
  </w:endnote>
  <w:endnote w:type="continuationSeparator" w:id="0">
    <w:p w14:paraId="1F0559D1" w14:textId="77777777" w:rsidR="00556CDF" w:rsidRDefault="00556CDF" w:rsidP="0044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929165"/>
      <w:docPartObj>
        <w:docPartGallery w:val="Page Numbers (Bottom of Page)"/>
        <w:docPartUnique/>
      </w:docPartObj>
    </w:sdtPr>
    <w:sdtEndPr>
      <w:rPr>
        <w:noProof/>
      </w:rPr>
    </w:sdtEndPr>
    <w:sdtContent>
      <w:p w14:paraId="2150D800" w14:textId="33875525" w:rsidR="00446869" w:rsidRDefault="00446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4D0E6" w14:textId="77777777" w:rsidR="00446869" w:rsidRDefault="0044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54B3E" w14:textId="77777777" w:rsidR="00556CDF" w:rsidRDefault="00556CDF" w:rsidP="00446869">
      <w:pPr>
        <w:spacing w:after="0" w:line="240" w:lineRule="auto"/>
      </w:pPr>
      <w:r>
        <w:separator/>
      </w:r>
    </w:p>
  </w:footnote>
  <w:footnote w:type="continuationSeparator" w:id="0">
    <w:p w14:paraId="54462DAB" w14:textId="77777777" w:rsidR="00556CDF" w:rsidRDefault="00556CDF" w:rsidP="00446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31C2D"/>
    <w:multiLevelType w:val="hybridMultilevel"/>
    <w:tmpl w:val="354E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20FE5"/>
    <w:multiLevelType w:val="hybridMultilevel"/>
    <w:tmpl w:val="40EC2A90"/>
    <w:lvl w:ilvl="0" w:tplc="AE661C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A93C32"/>
    <w:multiLevelType w:val="hybridMultilevel"/>
    <w:tmpl w:val="CE1A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0F1A48"/>
    <w:multiLevelType w:val="hybridMultilevel"/>
    <w:tmpl w:val="D1AC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923026">
    <w:abstractNumId w:val="2"/>
  </w:num>
  <w:num w:numId="2" w16cid:durableId="1684549124">
    <w:abstractNumId w:val="0"/>
  </w:num>
  <w:num w:numId="3" w16cid:durableId="1406611267">
    <w:abstractNumId w:val="3"/>
  </w:num>
  <w:num w:numId="4" w16cid:durableId="50058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EF"/>
    <w:rsid w:val="0012089C"/>
    <w:rsid w:val="00184E41"/>
    <w:rsid w:val="001A0CEC"/>
    <w:rsid w:val="001E45A7"/>
    <w:rsid w:val="001E7999"/>
    <w:rsid w:val="002273F0"/>
    <w:rsid w:val="00256BB1"/>
    <w:rsid w:val="00332408"/>
    <w:rsid w:val="003D2251"/>
    <w:rsid w:val="00446869"/>
    <w:rsid w:val="00554B62"/>
    <w:rsid w:val="00556CDF"/>
    <w:rsid w:val="005746C9"/>
    <w:rsid w:val="005837E7"/>
    <w:rsid w:val="005E556A"/>
    <w:rsid w:val="006D4483"/>
    <w:rsid w:val="007F40A2"/>
    <w:rsid w:val="008026F3"/>
    <w:rsid w:val="008B3E4F"/>
    <w:rsid w:val="009E4780"/>
    <w:rsid w:val="00A60BDB"/>
    <w:rsid w:val="00C85FCE"/>
    <w:rsid w:val="00D17241"/>
    <w:rsid w:val="00D23D09"/>
    <w:rsid w:val="00D90E4C"/>
    <w:rsid w:val="00D967E5"/>
    <w:rsid w:val="00DE2857"/>
    <w:rsid w:val="00E54E8E"/>
    <w:rsid w:val="00F25A5F"/>
    <w:rsid w:val="00F2642A"/>
    <w:rsid w:val="00F26A3B"/>
    <w:rsid w:val="00F403EF"/>
    <w:rsid w:val="00F67B48"/>
    <w:rsid w:val="00FF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E2FB"/>
  <w15:chartTrackingRefBased/>
  <w15:docId w15:val="{F612C9D5-2F05-4FD4-9631-33C01A52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EF"/>
    <w:pPr>
      <w:ind w:left="720"/>
      <w:contextualSpacing/>
    </w:pPr>
  </w:style>
  <w:style w:type="paragraph" w:styleId="Header">
    <w:name w:val="header"/>
    <w:basedOn w:val="Normal"/>
    <w:link w:val="HeaderChar"/>
    <w:uiPriority w:val="99"/>
    <w:unhideWhenUsed/>
    <w:rsid w:val="00446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869"/>
  </w:style>
  <w:style w:type="paragraph" w:styleId="Footer">
    <w:name w:val="footer"/>
    <w:basedOn w:val="Normal"/>
    <w:link w:val="FooterChar"/>
    <w:uiPriority w:val="99"/>
    <w:unhideWhenUsed/>
    <w:rsid w:val="00446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2103</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 Geraldine</dc:creator>
  <cp:keywords/>
  <dc:description/>
  <cp:lastModifiedBy>Close, Angela</cp:lastModifiedBy>
  <cp:revision>2</cp:revision>
  <dcterms:created xsi:type="dcterms:W3CDTF">2025-02-10T13:14:00Z</dcterms:created>
  <dcterms:modified xsi:type="dcterms:W3CDTF">2025-02-10T13:14:00Z</dcterms:modified>
</cp:coreProperties>
</file>